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A" w:rsidRDefault="00B87D52">
      <w:pPr>
        <w:rPr>
          <w:sz w:val="32"/>
          <w:szCs w:val="32"/>
        </w:rPr>
      </w:pPr>
      <w:r>
        <w:rPr>
          <w:sz w:val="32"/>
          <w:szCs w:val="32"/>
        </w:rPr>
        <w:t>Procédure « VEI » Véhicule économiquement irréparable</w:t>
      </w:r>
    </w:p>
    <w:p w:rsidR="00B87D52" w:rsidRDefault="00B87D52">
      <w:pPr>
        <w:rPr>
          <w:sz w:val="32"/>
          <w:szCs w:val="32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</w:pPr>
      <w:r w:rsidRPr="00BD2986">
        <w:rPr>
          <w:b/>
          <w:bCs/>
          <w:color w:val="000000"/>
          <w:u w:val="single"/>
        </w:rPr>
        <w:t>ARTICLE L 326-10 DU CODE DE LA ROUTE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bCs/>
          <w:color w:val="000000"/>
          <w:sz w:val="16"/>
          <w:szCs w:val="16"/>
          <w:u w:val="single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>Les entreprises d'assurances tenues à un titre quelconque à indemniser les dommages à un véhicule dont un rapport d'expertise fait apparaître  que le montant des réparations est supérieur à la valeur de la chose  assurée au moment du sinistre, doivent dans les quinze jours suivant la remise du rapport d'expertise proposer une indemnisation en perte totale avec cession du véhicule à l'assureur.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bCs/>
          <w:color w:val="000000"/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</w:pPr>
      <w:r w:rsidRPr="00BD2986">
        <w:rPr>
          <w:b/>
          <w:bCs/>
          <w:color w:val="000000"/>
          <w:u w:val="single"/>
        </w:rPr>
        <w:t>ARTICLE L 326-11 DU CODE DE LA ROUTE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>En cas d'accord du propriétaire de céder le véhicule à l'assureur, celui-ci transmet le certificat d'immatriculation du véhicule au représentant de l'Etat dans département du lieu d'immatriculation.</w:t>
      </w: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>L'assureur doit vendre le véhicule à un acheteur professionnel pour destruction, réparation ou récupération des pièces en vue de leur  revente ou reconstruction.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bCs/>
          <w:color w:val="000000"/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 xml:space="preserve">En cas de réparation du véhicule, celui-ci ne peut être remis en circulation et faire l'objet d'une </w:t>
      </w:r>
      <w:proofErr w:type="spellStart"/>
      <w:r w:rsidRPr="00BD2986">
        <w:rPr>
          <w:b/>
          <w:bCs/>
          <w:color w:val="000000"/>
        </w:rPr>
        <w:t>réimmatriculation</w:t>
      </w:r>
      <w:proofErr w:type="spellEnd"/>
      <w:r w:rsidRPr="00BD2986">
        <w:rPr>
          <w:b/>
          <w:bCs/>
          <w:color w:val="000000"/>
        </w:rPr>
        <w:t xml:space="preserve"> qu'au vu du rapport d'expertise certifiant que ledit véhicule a fait l'objet des réparations touchant à la sécurité prévues par le premier rapport d'expertise et qu'il est en état de circuler dans des conditions normales de sécurité.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bCs/>
          <w:color w:val="000000"/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</w:pPr>
      <w:r w:rsidRPr="00BD2986">
        <w:rPr>
          <w:b/>
          <w:bCs/>
          <w:color w:val="000000"/>
          <w:u w:val="single"/>
        </w:rPr>
        <w:t>ARTICLE L 326-12 DU CODE DE LA ROUTE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bCs/>
          <w:color w:val="000000"/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>En cas de refus du propriétaire de céder le véhicule à l'assureur ou de silence dans le délai fixé à l'article L326-10 l'assureur doit en  informer le représentant de l'Etat dans le département du lieu d'immatriculation.</w:t>
      </w: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>Celui-ci procède alors, pendant la durée nécessaire et jusqu'à ce que le propriétaire l'ait informé que le véhicule a été réparé, à l'inscription d'une opposition à tout transfert du certificat d'immatriculation. Il en informe le propriétaire par lettre simple.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jc w:val="both"/>
        <w:rPr>
          <w:bCs/>
          <w:color w:val="000000"/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 w:rsidRPr="00BD2986">
        <w:rPr>
          <w:b/>
          <w:bCs/>
          <w:color w:val="000000"/>
        </w:rPr>
        <w:t xml:space="preserve">Pour obtenir la levée de cette opposition, le propriétaire doit présenter un second rapport d'expertise certifiant que ledit véhicule a fait l'objet des réparations touchant à la </w:t>
      </w:r>
      <w:r w:rsidRPr="00BD2986">
        <w:rPr>
          <w:b/>
          <w:bCs/>
          <w:color w:val="000000"/>
        </w:rPr>
        <w:lastRenderedPageBreak/>
        <w:t>sécurité prévues par le premier rapport d'expertise et que le véhicule est en état de circuler dans des conditions normales de sécurité.</w:t>
      </w:r>
    </w:p>
    <w:p w:rsidR="00B87D52" w:rsidRPr="00BD2986" w:rsidRDefault="00B87D52" w:rsidP="00B87D52">
      <w:pPr>
        <w:widowControl w:val="0"/>
        <w:autoSpaceDE w:val="0"/>
        <w:autoSpaceDN w:val="0"/>
        <w:adjustRightInd w:val="0"/>
        <w:ind w:left="843"/>
        <w:rPr>
          <w:bCs/>
          <w:color w:val="000000"/>
          <w:sz w:val="16"/>
          <w:szCs w:val="16"/>
        </w:rPr>
      </w:pP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jc w:val="both"/>
      </w:pPr>
      <w:r>
        <w:rPr>
          <w:b/>
          <w:bCs/>
          <w:color w:val="000000"/>
        </w:rPr>
        <w:t>Le propriétaire du véhicule devra donc mandater un expert automobile agréé par le ministère de l’intérieur, ceci afin d’assurer le suivi des travaux et examen avant, pendant et après travaux.</w:t>
      </w:r>
    </w:p>
    <w:p w:rsidR="00B87D52" w:rsidRPr="00BD2986" w:rsidRDefault="00B87D52" w:rsidP="00B87D52">
      <w:pPr>
        <w:widowControl w:val="0"/>
        <w:tabs>
          <w:tab w:val="left" w:pos="547"/>
        </w:tabs>
        <w:autoSpaceDE w:val="0"/>
        <w:autoSpaceDN w:val="0"/>
        <w:adjustRightInd w:val="0"/>
        <w:ind w:left="843"/>
        <w:rPr>
          <w:bCs/>
          <w:color w:val="000000"/>
          <w:sz w:val="20"/>
          <w:szCs w:val="20"/>
        </w:rPr>
      </w:pPr>
    </w:p>
    <w:p w:rsidR="00B87D52" w:rsidRPr="00B87D52" w:rsidRDefault="00B87D52">
      <w:pPr>
        <w:rPr>
          <w:sz w:val="32"/>
          <w:szCs w:val="32"/>
        </w:rPr>
      </w:pPr>
    </w:p>
    <w:sectPr w:rsidR="00B87D52" w:rsidRPr="00B87D52" w:rsidSect="0006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D52"/>
    <w:rsid w:val="000003EF"/>
    <w:rsid w:val="00005B70"/>
    <w:rsid w:val="000141FF"/>
    <w:rsid w:val="00015E7D"/>
    <w:rsid w:val="000325B3"/>
    <w:rsid w:val="000338DD"/>
    <w:rsid w:val="000432A7"/>
    <w:rsid w:val="00044DB7"/>
    <w:rsid w:val="0005704B"/>
    <w:rsid w:val="0006652A"/>
    <w:rsid w:val="000715BA"/>
    <w:rsid w:val="0008682C"/>
    <w:rsid w:val="00087123"/>
    <w:rsid w:val="00095AE8"/>
    <w:rsid w:val="000A120F"/>
    <w:rsid w:val="000A32EB"/>
    <w:rsid w:val="000B0320"/>
    <w:rsid w:val="000B4D96"/>
    <w:rsid w:val="000C49A7"/>
    <w:rsid w:val="000D47D3"/>
    <w:rsid w:val="00103D35"/>
    <w:rsid w:val="001049B4"/>
    <w:rsid w:val="0011361A"/>
    <w:rsid w:val="00122107"/>
    <w:rsid w:val="00124093"/>
    <w:rsid w:val="00130897"/>
    <w:rsid w:val="00145D43"/>
    <w:rsid w:val="001818BF"/>
    <w:rsid w:val="001846D0"/>
    <w:rsid w:val="00186881"/>
    <w:rsid w:val="00191459"/>
    <w:rsid w:val="00191740"/>
    <w:rsid w:val="001B22BB"/>
    <w:rsid w:val="001C2414"/>
    <w:rsid w:val="001D6718"/>
    <w:rsid w:val="001D6980"/>
    <w:rsid w:val="001E5BDB"/>
    <w:rsid w:val="001F0680"/>
    <w:rsid w:val="001F4347"/>
    <w:rsid w:val="001F5A39"/>
    <w:rsid w:val="001F7951"/>
    <w:rsid w:val="002244E7"/>
    <w:rsid w:val="00242643"/>
    <w:rsid w:val="00243073"/>
    <w:rsid w:val="00244BC0"/>
    <w:rsid w:val="00250586"/>
    <w:rsid w:val="00250FDA"/>
    <w:rsid w:val="00253D58"/>
    <w:rsid w:val="00254057"/>
    <w:rsid w:val="00271160"/>
    <w:rsid w:val="00274271"/>
    <w:rsid w:val="00282B9A"/>
    <w:rsid w:val="00287A3B"/>
    <w:rsid w:val="002C6C9E"/>
    <w:rsid w:val="002D166D"/>
    <w:rsid w:val="002E2F47"/>
    <w:rsid w:val="002E5118"/>
    <w:rsid w:val="002E5B6D"/>
    <w:rsid w:val="002F40C4"/>
    <w:rsid w:val="003004FD"/>
    <w:rsid w:val="00317338"/>
    <w:rsid w:val="00325370"/>
    <w:rsid w:val="003361A0"/>
    <w:rsid w:val="00345160"/>
    <w:rsid w:val="0034546A"/>
    <w:rsid w:val="0035792E"/>
    <w:rsid w:val="00381974"/>
    <w:rsid w:val="003A4199"/>
    <w:rsid w:val="003D5A5D"/>
    <w:rsid w:val="003E706B"/>
    <w:rsid w:val="003F2793"/>
    <w:rsid w:val="003F6546"/>
    <w:rsid w:val="00401ECB"/>
    <w:rsid w:val="00402E7F"/>
    <w:rsid w:val="004034A5"/>
    <w:rsid w:val="0041352D"/>
    <w:rsid w:val="004149F0"/>
    <w:rsid w:val="00421B66"/>
    <w:rsid w:val="00430BE7"/>
    <w:rsid w:val="00430FFE"/>
    <w:rsid w:val="004405B2"/>
    <w:rsid w:val="00445C7E"/>
    <w:rsid w:val="00491C8F"/>
    <w:rsid w:val="004949A5"/>
    <w:rsid w:val="00496035"/>
    <w:rsid w:val="00496ACB"/>
    <w:rsid w:val="004D05EC"/>
    <w:rsid w:val="004D410B"/>
    <w:rsid w:val="004D64DD"/>
    <w:rsid w:val="00502A96"/>
    <w:rsid w:val="00506A22"/>
    <w:rsid w:val="00510167"/>
    <w:rsid w:val="0051288F"/>
    <w:rsid w:val="00520C16"/>
    <w:rsid w:val="00540441"/>
    <w:rsid w:val="00544D32"/>
    <w:rsid w:val="00546FA7"/>
    <w:rsid w:val="0055317A"/>
    <w:rsid w:val="00562A0B"/>
    <w:rsid w:val="005653D9"/>
    <w:rsid w:val="0057464C"/>
    <w:rsid w:val="0057591A"/>
    <w:rsid w:val="005837B9"/>
    <w:rsid w:val="0059063A"/>
    <w:rsid w:val="005906BE"/>
    <w:rsid w:val="00592B82"/>
    <w:rsid w:val="005A017C"/>
    <w:rsid w:val="005A0363"/>
    <w:rsid w:val="005B0A09"/>
    <w:rsid w:val="005B55D0"/>
    <w:rsid w:val="005C1B36"/>
    <w:rsid w:val="005C6511"/>
    <w:rsid w:val="005E0729"/>
    <w:rsid w:val="005E6D23"/>
    <w:rsid w:val="005F3CDC"/>
    <w:rsid w:val="005F5E18"/>
    <w:rsid w:val="006010CE"/>
    <w:rsid w:val="00606E7A"/>
    <w:rsid w:val="006127E9"/>
    <w:rsid w:val="00633E61"/>
    <w:rsid w:val="0066200E"/>
    <w:rsid w:val="006654C6"/>
    <w:rsid w:val="00667B5D"/>
    <w:rsid w:val="00673473"/>
    <w:rsid w:val="00680D15"/>
    <w:rsid w:val="00686399"/>
    <w:rsid w:val="00693ACC"/>
    <w:rsid w:val="006A00CF"/>
    <w:rsid w:val="006B16B2"/>
    <w:rsid w:val="006B1D18"/>
    <w:rsid w:val="006B33DD"/>
    <w:rsid w:val="006C7EFA"/>
    <w:rsid w:val="006E7372"/>
    <w:rsid w:val="006F0404"/>
    <w:rsid w:val="006F1F0D"/>
    <w:rsid w:val="006F7068"/>
    <w:rsid w:val="006F7561"/>
    <w:rsid w:val="00703C9E"/>
    <w:rsid w:val="007069DD"/>
    <w:rsid w:val="007118EC"/>
    <w:rsid w:val="00714BF4"/>
    <w:rsid w:val="007213DF"/>
    <w:rsid w:val="00740204"/>
    <w:rsid w:val="007451F0"/>
    <w:rsid w:val="0075135C"/>
    <w:rsid w:val="007630AA"/>
    <w:rsid w:val="00764E56"/>
    <w:rsid w:val="00765B4B"/>
    <w:rsid w:val="0078255D"/>
    <w:rsid w:val="00786FC7"/>
    <w:rsid w:val="00797606"/>
    <w:rsid w:val="007A0AB2"/>
    <w:rsid w:val="007A6F46"/>
    <w:rsid w:val="007B0137"/>
    <w:rsid w:val="007C3FCE"/>
    <w:rsid w:val="007C46BF"/>
    <w:rsid w:val="007E67C8"/>
    <w:rsid w:val="007F10A4"/>
    <w:rsid w:val="008176DA"/>
    <w:rsid w:val="00817850"/>
    <w:rsid w:val="008275E7"/>
    <w:rsid w:val="00837AC0"/>
    <w:rsid w:val="0084047D"/>
    <w:rsid w:val="008414AB"/>
    <w:rsid w:val="008517DB"/>
    <w:rsid w:val="00855DB2"/>
    <w:rsid w:val="008578E9"/>
    <w:rsid w:val="00875664"/>
    <w:rsid w:val="008823A7"/>
    <w:rsid w:val="008A1C5E"/>
    <w:rsid w:val="008B5A8E"/>
    <w:rsid w:val="008B73D9"/>
    <w:rsid w:val="008C05F9"/>
    <w:rsid w:val="008C5846"/>
    <w:rsid w:val="008C6338"/>
    <w:rsid w:val="008D1DE7"/>
    <w:rsid w:val="008D4831"/>
    <w:rsid w:val="008E2F30"/>
    <w:rsid w:val="008E49D7"/>
    <w:rsid w:val="00905FF6"/>
    <w:rsid w:val="009069C5"/>
    <w:rsid w:val="00912BE7"/>
    <w:rsid w:val="00913E32"/>
    <w:rsid w:val="00916661"/>
    <w:rsid w:val="009233F1"/>
    <w:rsid w:val="009359F2"/>
    <w:rsid w:val="0093738D"/>
    <w:rsid w:val="00957728"/>
    <w:rsid w:val="009641EA"/>
    <w:rsid w:val="0096655D"/>
    <w:rsid w:val="009674D8"/>
    <w:rsid w:val="0098473C"/>
    <w:rsid w:val="00986B5D"/>
    <w:rsid w:val="009971BC"/>
    <w:rsid w:val="009A45D0"/>
    <w:rsid w:val="009C0586"/>
    <w:rsid w:val="009C0BE9"/>
    <w:rsid w:val="009C3B19"/>
    <w:rsid w:val="009F0BCD"/>
    <w:rsid w:val="009F5546"/>
    <w:rsid w:val="00A147FB"/>
    <w:rsid w:val="00A160C3"/>
    <w:rsid w:val="00A17809"/>
    <w:rsid w:val="00A22551"/>
    <w:rsid w:val="00A43020"/>
    <w:rsid w:val="00A47003"/>
    <w:rsid w:val="00A476A0"/>
    <w:rsid w:val="00A501FD"/>
    <w:rsid w:val="00A53C66"/>
    <w:rsid w:val="00A55EE0"/>
    <w:rsid w:val="00A571D3"/>
    <w:rsid w:val="00A606E1"/>
    <w:rsid w:val="00A625E7"/>
    <w:rsid w:val="00AA2485"/>
    <w:rsid w:val="00AA4028"/>
    <w:rsid w:val="00AA507A"/>
    <w:rsid w:val="00AC47E2"/>
    <w:rsid w:val="00AC4A9F"/>
    <w:rsid w:val="00AD241C"/>
    <w:rsid w:val="00AD4930"/>
    <w:rsid w:val="00AF00C7"/>
    <w:rsid w:val="00AF3966"/>
    <w:rsid w:val="00AF79F2"/>
    <w:rsid w:val="00B176D3"/>
    <w:rsid w:val="00B22A83"/>
    <w:rsid w:val="00B25288"/>
    <w:rsid w:val="00B26680"/>
    <w:rsid w:val="00B33167"/>
    <w:rsid w:val="00B46BBC"/>
    <w:rsid w:val="00B47D9C"/>
    <w:rsid w:val="00B545CD"/>
    <w:rsid w:val="00B5576F"/>
    <w:rsid w:val="00B66F57"/>
    <w:rsid w:val="00B70D76"/>
    <w:rsid w:val="00B73732"/>
    <w:rsid w:val="00B86624"/>
    <w:rsid w:val="00B87D52"/>
    <w:rsid w:val="00B93351"/>
    <w:rsid w:val="00B95D6D"/>
    <w:rsid w:val="00BB1F40"/>
    <w:rsid w:val="00BB7523"/>
    <w:rsid w:val="00BC3258"/>
    <w:rsid w:val="00BC7DA6"/>
    <w:rsid w:val="00BD0A66"/>
    <w:rsid w:val="00BD60DA"/>
    <w:rsid w:val="00BE3C98"/>
    <w:rsid w:val="00BF059B"/>
    <w:rsid w:val="00BF5279"/>
    <w:rsid w:val="00C2754C"/>
    <w:rsid w:val="00C448CE"/>
    <w:rsid w:val="00C57ECC"/>
    <w:rsid w:val="00C60CF2"/>
    <w:rsid w:val="00C708DD"/>
    <w:rsid w:val="00C82BC8"/>
    <w:rsid w:val="00C87296"/>
    <w:rsid w:val="00CD120B"/>
    <w:rsid w:val="00CD2094"/>
    <w:rsid w:val="00CD3F3B"/>
    <w:rsid w:val="00CE11CC"/>
    <w:rsid w:val="00CF6242"/>
    <w:rsid w:val="00D005F2"/>
    <w:rsid w:val="00D0060C"/>
    <w:rsid w:val="00D00FAB"/>
    <w:rsid w:val="00D02718"/>
    <w:rsid w:val="00D053BF"/>
    <w:rsid w:val="00D06547"/>
    <w:rsid w:val="00D10A69"/>
    <w:rsid w:val="00D17B1C"/>
    <w:rsid w:val="00D2243C"/>
    <w:rsid w:val="00D23999"/>
    <w:rsid w:val="00D43290"/>
    <w:rsid w:val="00D4558A"/>
    <w:rsid w:val="00D84A66"/>
    <w:rsid w:val="00DA2A6D"/>
    <w:rsid w:val="00DB7609"/>
    <w:rsid w:val="00DD3427"/>
    <w:rsid w:val="00DE1D83"/>
    <w:rsid w:val="00DE1D95"/>
    <w:rsid w:val="00DE7634"/>
    <w:rsid w:val="00E01433"/>
    <w:rsid w:val="00E06CE8"/>
    <w:rsid w:val="00E11CA4"/>
    <w:rsid w:val="00E24237"/>
    <w:rsid w:val="00E305B2"/>
    <w:rsid w:val="00E336B0"/>
    <w:rsid w:val="00E349D9"/>
    <w:rsid w:val="00E403F9"/>
    <w:rsid w:val="00E4159A"/>
    <w:rsid w:val="00E90402"/>
    <w:rsid w:val="00E95990"/>
    <w:rsid w:val="00EB05E8"/>
    <w:rsid w:val="00EF1156"/>
    <w:rsid w:val="00EF1787"/>
    <w:rsid w:val="00EF4122"/>
    <w:rsid w:val="00EF5990"/>
    <w:rsid w:val="00F03F68"/>
    <w:rsid w:val="00F06F33"/>
    <w:rsid w:val="00F24660"/>
    <w:rsid w:val="00F26523"/>
    <w:rsid w:val="00F4164D"/>
    <w:rsid w:val="00F420B8"/>
    <w:rsid w:val="00F75B31"/>
    <w:rsid w:val="00F85C96"/>
    <w:rsid w:val="00F86C6D"/>
    <w:rsid w:val="00F91BF8"/>
    <w:rsid w:val="00F92876"/>
    <w:rsid w:val="00FA2433"/>
    <w:rsid w:val="00FA5612"/>
    <w:rsid w:val="00FA6E06"/>
    <w:rsid w:val="00FB145E"/>
    <w:rsid w:val="00FC1C1D"/>
    <w:rsid w:val="00FC4261"/>
    <w:rsid w:val="00FD0BF8"/>
    <w:rsid w:val="00FF35B8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1927</Characters>
  <Application>Microsoft Office Word</Application>
  <DocSecurity>0</DocSecurity>
  <Lines>16</Lines>
  <Paragraphs>4</Paragraphs>
  <ScaleCrop>false</ScaleCrop>
  <Company>Cabinet Sere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M.GICQUEL</dc:creator>
  <cp:lastModifiedBy>M.GICQUEL</cp:lastModifiedBy>
  <cp:revision>1</cp:revision>
  <dcterms:created xsi:type="dcterms:W3CDTF">2013-02-10T17:20:00Z</dcterms:created>
  <dcterms:modified xsi:type="dcterms:W3CDTF">2013-02-10T17:23:00Z</dcterms:modified>
</cp:coreProperties>
</file>